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3"/>
        <w:tblW w:w="837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539"/>
        <w:gridCol w:w="1878"/>
        <w:gridCol w:w="1696"/>
        <w:gridCol w:w="25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雨棚钢化玻璃损坏情况一览表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位置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规格mm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面积（平方米）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敏行楼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1190*1845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1360*1190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1.62 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1180*1850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1180*1260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1.49 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1260*1185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1.49 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1845*1190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需要升降机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1690*1185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需要升降机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1690*1185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需要升降机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1190*1850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需要升降机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1390*1850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2.57 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需要升降机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1190*1850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需要升降机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1390*1850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2.57 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需要升降机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男一宿舍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1180*1080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1.27 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崇文楼和崇德楼中间大门后雨棚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1500*1835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2.75 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需要升降机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二食堂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1360*2400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3.26 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需要升降机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32.01 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</w:t>
      </w:r>
      <w:r>
        <w:rPr>
          <w:rFonts w:hint="eastAsia" w:ascii="仿宋" w:hAnsi="仿宋" w:eastAsia="仿宋" w:cs="仿宋"/>
          <w:sz w:val="28"/>
          <w:szCs w:val="28"/>
        </w:rPr>
        <w:t>玻璃规格为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6+6夹胶</w:t>
      </w:r>
      <w:r>
        <w:rPr>
          <w:rFonts w:hint="eastAsia" w:ascii="仿宋" w:hAnsi="仿宋" w:eastAsia="仿宋" w:cs="仿宋"/>
          <w:sz w:val="28"/>
          <w:szCs w:val="28"/>
        </w:rPr>
        <w:t>钢化玻璃（与原破裂玻璃厚度、质量、颜色一致），按每平方米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420</w:t>
      </w:r>
      <w:r>
        <w:rPr>
          <w:rFonts w:hint="eastAsia" w:ascii="仿宋" w:hAnsi="仿宋" w:eastAsia="仿宋" w:cs="仿宋"/>
          <w:sz w:val="28"/>
          <w:szCs w:val="28"/>
        </w:rPr>
        <w:t>元，最后工程款以实际测量为准。此工程为大包干价，包含工程材料、人工工资、设备、税费、施工过程中的其他附加工程等费用。（施工过程中的其他附加工程包括拆除复原、损坏修复等）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F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6D2F525F"/>
    <w:rsid w:val="6D2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2024-01-25T01:31:00Z</dcterms:created>
  <dc:creator>枫</dc:creator>
  <cp:lastModifiedBy>枫</cp:lastModifiedBy>
  <dcterms:modified xsi:type="dcterms:W3CDTF">2024-01-25T01:31:45Z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00C3CE19F77D4650A50B1391187CCB38_11</vt:lpwstr>
  </property>
</Properties>
</file>