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right="0" w:rightChars="0"/>
        <w:jc w:val="both"/>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附件二：</w:t>
      </w:r>
    </w:p>
    <w:tbl>
      <w:tblPr>
        <w:tblStyle w:val="4"/>
        <w:tblW w:w="91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9"/>
        <w:gridCol w:w="964"/>
        <w:gridCol w:w="6396"/>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 xml:space="preserve"> 女性专项检查（已婚项目）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人乳头瘤病毒检测(HPV)16、18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高危及低危型人乳头瘤病毒感染的辅助诊断，发现宫颈癌的高危人群</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人乳头瘤病毒检测（全套）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检测是否HPV病毒感染，为早期宫颈癌和癌前病变提供诊断参考。</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电子阴道镜检查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通过彩色摄像仪采集阴道图像信息，检查阴道、宫颈等病变情况。</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支原体鉴定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子宫切除后，阴道残端刮片细胞检查，主要检查肿瘤及炎症。</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放射检查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胸部正侧位片(DR)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可提示心、肺、大血管和横隔位置，心脏肥大、肺炎、肺结核、支气管扩张、肺占位病变等。</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颈椎正侧位片(DR)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颈椎正侧位片检查可以显示颈椎关节有无明显改变，颈椎曲度是否改变，椎间隙是否变窄，有无骨质增生或韧带钙化，斜位摄片有无椎间孔变小。</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腰椎正侧位片(DR)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正位片可提示腰椎、横突、椎间隙等是否有异常改变；侧位片了解椎体曲度、椎体异常改变、腰骶角大小等。</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左膝关节正侧位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检查左膝关节有无病变情况。</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右膝关节正侧位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检查右膝关节有无病变情况。</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CT检查（低剂量螺旋CT）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头颅CT（新）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通过X线计算机体层摄影进行检查</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颈椎CT（新）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通过X线计算机体层摄影进行检查</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腰椎CT（新）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通过X线计算机体层摄影进行检查</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胸部CT（新）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通过X线计算机体层摄影进行检查</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腹部CT（新）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通过X线计算机体层摄影进行检查</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下腹部CT（新）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通过X线计算机体层摄影进行检查</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盆腔CT（新）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通过X线计算机体层摄影进行检查</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其他部位CT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通过X线计算机体层摄影进行检查</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高清彩色超声检查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腹部彩超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肝胆脾胰彩超，能检查出这些部位有没有肿大，有没有炎症，有没有结石，有没有肿块等。例如肝癌、肝硬化、胆结石、脾大、胰腺炎等可以通过超声检查出来。</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男性泌尿系彩超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一般可以大致判断泌尿系统的疾病，比如说有无明显的结石，泌尿系统感染，占位等等，还可以检出膀胱的病变。</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女性泌尿系彩超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一般可以大致判断泌尿系统的疾病，比如说有无明显的结石，泌尿系统感染，占位等等，还可以检出膀胱的病变。</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子宫附件彩超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更清晰的观察子宫、卵巢、盆腔等生殖器是否有病变发生。(需要憋尿)</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阴道腔内彩超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经阴道彩色超声检查比腹部盆腔彩超更清晰显示子宫、内膜及双侧卵巢形态、大小和卵泡以及血流功能性和肿瘤性等病变情况(不需要憋尿)</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双侧颈动脉彩超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颈动脉超声是诊断、评估颈动脉壁病变的有效手段之一,在动脉粥样硬化的流行病学调查和对动脉粥样硬化预防、治疗试验的有效性评价中起着关键作用。</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双侧乳腺彩超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通过彩色超声仪器检查乳腺，及早发现乳腺病变如乳腺增生、肿瘤等以便早期诊断、早期治疗</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甲状腺彩超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检查甲状腺的结构及形态，发现甲状腺异常病变。</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心脏彩超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对冠心病、先天性心脏病、心肌病、肺心病、心包炎等具有重要的诊断意义。</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实验室检查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高血压四项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用于高血压分型。</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血流变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反映血液的流动性和粘滞性以及血液中红细胞和血小板的聚集性和变形性等,对冠心病、心肌梗死、脑动脉硬化、中风等疾病具有重要的早期预测意义。</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肝功能检测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肝功（12项）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6项+总蛋白、白蛋白、球蛋白、白球比例、碱性磷酸酶、γ-谷氨酰转肽酶</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肝纤维（4项）</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通过对肝脏酶、蛋白、胆红质的检测，可反映肝细胞的合成功能情况，肝细胞实质受损情况，肝内、外胆道阻塞情况等。</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w:t>
            </w:r>
            <w:r>
              <w:rPr>
                <w:rFonts w:hint="eastAsia" w:ascii="微软雅黑" w:hAnsi="微软雅黑" w:eastAsia="微软雅黑" w:cs="微软雅黑"/>
                <w:b/>
                <w:bCs/>
                <w:i w:val="0"/>
                <w:iCs w:val="0"/>
                <w:color w:val="000000"/>
                <w:kern w:val="0"/>
                <w:sz w:val="24"/>
                <w:szCs w:val="24"/>
                <w:u w:val="none"/>
                <w:lang w:val="en-US" w:eastAsia="zh-CN" w:bidi="ar"/>
              </w:rPr>
              <w:t xml:space="preserve">肾功能检测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肾功能（五项）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综合反映肾小球的功能，也用于痛风的诊断。</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血清胱抑素c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血清蛋白电泳即用电泳方法测定血清中各类蛋白占总蛋白的百分比。对于肝、肾疾病和多发性骨髓瘤的诊断有意义</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甲状腺功能检测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甲状腺功能七项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T3、T4、FT3、FT4、TSH、TPO、TGA判断甲状腺功能，鉴别免疫性疾病。</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甲状腺功能五项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T3、T4、FT3、FT4、TSH判断甲状腺功能，鉴别免疫性疾病。</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甲状腺功能三项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T3、T4、TSH。判断甲状腺功能，鉴别免疫性疾病。</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肝炎标志物检测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4"/>
                <w:szCs w:val="24"/>
                <w:highlight w:val="none"/>
                <w:u w:val="none"/>
              </w:rPr>
            </w:pPr>
            <w:r>
              <w:rPr>
                <w:rFonts w:hint="eastAsia" w:ascii="微软雅黑" w:hAnsi="微软雅黑" w:eastAsia="微软雅黑" w:cs="微软雅黑"/>
                <w:i w:val="0"/>
                <w:iCs w:val="0"/>
                <w:color w:val="FF0000"/>
                <w:kern w:val="0"/>
                <w:sz w:val="24"/>
                <w:szCs w:val="24"/>
                <w:highlight w:val="none"/>
                <w:u w:val="none"/>
                <w:lang w:val="en-US" w:eastAsia="zh-CN" w:bidi="ar"/>
              </w:rPr>
              <w:t xml:space="preserve"> 乙肝三系定量（五项）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诊断乙型肝炎及了解机体对乙肝的免疫情况。</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HBV-DNA定量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主要用于原发性或转移性肝癌、肝样胃癌和性腺或性腺外某些生殖细胞肿瘤（如卵黄囊瘤）的诊断和鉴别诊断。</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甲肝病毒抗体IGM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是急性甲型病毒感染的重要标志物</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丙肝病毒抗体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是诊断丙型肝炎病毒感染的重要标志物</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戊肝病毒抗体(IGM)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是诊断戊型肝炎病毒感染的重要标志物</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丙型肝炎病毒（HCV）RNA检测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用于确定感染、指导治疗和判断应答</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糖尿病检测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糖化血红蛋白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反映病人2-3个月内平均血糖的水平，用于糖尿病疗效观察。</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空腹胰岛素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胰岛素测定是诊断糖尿病和区分糖尿病类的最可靠方法，也是反映胰岛素细胞贮务和分泌功能的重要指标。</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 xml:space="preserve"> 胰岛素（餐后两小时）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胰岛素测定是诊断糖尿病和区分糖尿病类的最可靠方法，也是反映胰岛素细胞贮务和分泌功能的重要指标。</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C肽（空腹）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用于糖尿病分型，评估胰岛β细胞功能等</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C肽（餐后两小时）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用于糖尿病分型，评估胰岛β细胞功能等</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C-肽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C肽是胰岛β细胞的分泌产物，与胰岛素呈等分子数共存并同时释放至毛细血管循环中，不被肝脏破坏，半衰期较胰岛素明显为长，故测定血循环中C肽水平能反映β细胞合成与释放胰岛素功能。</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血糖两项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用于糖尿病的诊断。</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血脂检测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血脂六项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用于动脉粥样硬化、高血压、冠心病等疾病的诊断。</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血脂四项 </w:t>
            </w:r>
          </w:p>
        </w:tc>
        <w:tc>
          <w:tcPr>
            <w:tcW w:w="6396" w:type="dxa"/>
            <w:tcBorders>
              <w:top w:val="single" w:color="92D050" w:sz="4" w:space="0"/>
              <w:left w:val="single" w:color="92D050" w:sz="4" w:space="0"/>
              <w:bottom w:val="single" w:color="92D050" w:sz="4" w:space="0"/>
              <w:right w:val="single" w:color="92D05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（总胆固醇、甘油三酯、低密度脂蛋白、高密度脂蛋白）作为脂质代谢紊乱的诊断指标、评估发生动脉粥样硬化的风险，协助诊断原发性胆汁性肝硬化、肝硬化及吸收不良综合征等</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心脑功能检测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同型半胱氨酸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HCY主要作为心血管疾病，尤其是冠状动脉粥样硬化和心肌梗死的危险指标，它的浓度升高程度与疾病的危险性成正比，是诱发心血管疾病的一个独立危险因素</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心肌酶谱（速率法）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含磷酸肌酸激酶、同工酶、乳酸脱氢酶、α－羟丁酸脱氢酶四项；主要存在于心肌、脑、肝、组织及骨骼；在急性心肌梗死、心肌损害时肌酸激酶、尤其CK-MB升高，另外，重症肺炎、心衰、尿毒症、急性颅脑损伤等均可升高。</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超敏C反应蛋白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C反应蛋白是由肝脏合成的一种全身性炎症反应急性期的非特异性标志物, 是心血管事件危险最强有力的预测因子之一。CRP 是与动脉粥样硬化发生、演变和发展都有关的促炎因子。</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心脑血管病危险因子3项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6"/>
                <w:color w:val="FF0000"/>
                <w:lang w:val="en-US" w:eastAsia="zh-CN" w:bidi="ar"/>
              </w:rPr>
              <w:t>容易导致心脑血管疾病的危险因子筛查：</w:t>
            </w:r>
            <w:r>
              <w:rPr>
                <w:rStyle w:val="7"/>
                <w:color w:val="FF0000"/>
                <w:lang w:val="en-US" w:eastAsia="zh-CN" w:bidi="ar"/>
              </w:rPr>
              <w:t>超敏C反应蛋白、脂蛋白相关磷脂酶A2、髓过氧化物酶</w:t>
            </w:r>
            <w:r>
              <w:rPr>
                <w:rStyle w:val="6"/>
                <w:color w:val="FF0000"/>
                <w:lang w:val="en-US" w:eastAsia="zh-CN" w:bidi="ar"/>
              </w:rPr>
              <w:t>。（独家特色项目）</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性病筛查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艾滋病（HIV）抗体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诊断艾滋病毒感染。</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w:t>
            </w:r>
            <w:r>
              <w:rPr>
                <w:rFonts w:hint="eastAsia" w:ascii="微软雅黑" w:hAnsi="微软雅黑" w:eastAsia="微软雅黑" w:cs="微软雅黑"/>
                <w:b/>
                <w:bCs/>
                <w:i w:val="0"/>
                <w:iCs w:val="0"/>
                <w:color w:val="000000"/>
                <w:kern w:val="0"/>
                <w:sz w:val="24"/>
                <w:szCs w:val="24"/>
                <w:u w:val="none"/>
                <w:lang w:val="en-US" w:eastAsia="zh-CN" w:bidi="ar"/>
              </w:rPr>
              <w:t xml:space="preserve">风湿、类风湿疾病检测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类风湿因子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一种抗变性IgG的自身抗体，通常为IgM类，多出现于类风湿关节炎患者血清或滑膜液。</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风湿三项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用于风湿及类风湿的诊断。</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微量元素检测</w:t>
            </w:r>
            <w:r>
              <w:rPr>
                <w:rFonts w:hint="eastAsia" w:ascii="微软雅黑" w:hAnsi="微软雅黑" w:eastAsia="微软雅黑" w:cs="微软雅黑"/>
                <w:i w:val="0"/>
                <w:iCs w:val="0"/>
                <w:color w:val="000000"/>
                <w:kern w:val="0"/>
                <w:sz w:val="24"/>
                <w:szCs w:val="24"/>
                <w:u w:val="none"/>
                <w:lang w:val="en-US" w:eastAsia="zh-CN" w:bidi="ar"/>
              </w:rPr>
              <w:t xml:space="preserve">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微量元素六项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监测微量元素平衡状态，预防微量元素失衡所致疾病的发生。</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微量元素（铅）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监测微量元素平衡状态，预防微量元素失衡所致疾病的发生。</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电解质（三项）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电解质对维持人体正常生理功能具有重要作用。</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激素检测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性激素六项 </w:t>
            </w:r>
          </w:p>
        </w:tc>
        <w:tc>
          <w:tcPr>
            <w:tcW w:w="6396" w:type="dxa"/>
            <w:tcBorders>
              <w:top w:val="single" w:color="92D050" w:sz="4" w:space="0"/>
              <w:left w:val="single" w:color="92D050" w:sz="4" w:space="0"/>
              <w:bottom w:val="single" w:color="92D050" w:sz="4" w:space="0"/>
              <w:right w:val="single" w:color="92D050" w:sz="4" w:space="0"/>
            </w:tcBorders>
            <w:shd w:val="clear" w:color="000000"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作为内分泌紊乱、性功能减退、闭经、性早熟、妊娠、不孕不育、泌乳素瘤等疾病观察指标。</w:t>
            </w:r>
          </w:p>
        </w:tc>
        <w:tc>
          <w:tcPr>
            <w:tcW w:w="855" w:type="dxa"/>
            <w:tcBorders>
              <w:top w:val="single" w:color="92D050" w:sz="4" w:space="0"/>
              <w:left w:val="single" w:color="92D050" w:sz="4" w:space="0"/>
              <w:bottom w:val="single" w:color="92D050" w:sz="4" w:space="0"/>
              <w:right w:val="single" w:color="92D050" w:sz="4" w:space="0"/>
            </w:tcBorders>
            <w:shd w:val="clear" w:color="000000"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人绒毛膜促性腺激素（HCG）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早孕、异位妊娠、女性生殖系统肿瘤及绒癌术后随防指标；葡萄胎、恶性葡萄胎、绒毛膜上皮细胞癌、精原细胞瘤、畸胎瘤、异位ＨＣＧ分泌肿瘤（如胃癌、胰腺癌，肺癌、结肠癌、肝癌、卵巢癌、消化系统类癌等），HCG会有增高。</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贫血检测指标 </w:t>
            </w:r>
          </w:p>
        </w:tc>
        <w:tc>
          <w:tcPr>
            <w:tcW w:w="855" w:type="dxa"/>
            <w:tcBorders>
              <w:top w:val="single" w:color="92D050" w:sz="4" w:space="0"/>
              <w:left w:val="single" w:color="92D050" w:sz="4" w:space="0"/>
              <w:bottom w:val="single" w:color="92D050" w:sz="4" w:space="0"/>
              <w:right w:val="single" w:color="92D05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铁蛋白测定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血清铁蛋白虽非特异性，但除肝癌、胰腺癌中度指标升高外，其它消化道肿瘤如食管癌、胃癌、直结肠癌均不升高。肝癌患者治疗有效者血清铁蛋白下降，而恶化和再发者升高，持续增高则愈后不良，故血清铁蛋白测定可作为疗效监测手段之一，特别是对AFP阴性的患者尤具意义</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贫血四项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用于贫血诊断和肿瘤的辅助诊断。</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贫血三项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用于贫血诊断和肿瘤的辅助诊断。</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肿瘤检查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甲胎蛋白(AFP)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Style w:val="6"/>
                <w:color w:val="auto"/>
                <w:lang w:val="en-US" w:eastAsia="zh-CN" w:bidi="ar"/>
              </w:rPr>
              <w:t>对原发性</w:t>
            </w:r>
            <w:r>
              <w:rPr>
                <w:rStyle w:val="7"/>
                <w:color w:val="auto"/>
                <w:lang w:val="en-US" w:eastAsia="zh-CN" w:bidi="ar"/>
              </w:rPr>
              <w:t>肝癌</w:t>
            </w:r>
            <w:r>
              <w:rPr>
                <w:rStyle w:val="6"/>
                <w:color w:val="auto"/>
                <w:lang w:val="en-US" w:eastAsia="zh-CN" w:bidi="ar"/>
              </w:rPr>
              <w:t>的诊断、疗效观察和预后评估有重要的临床意义。在卵巢、胃、胰腺癌、睾丸癌等肿瘤及肝炎、肝硬化等疾病也有异常发现，主要用于原发性或转移性肝癌、肝样胃癌和性腺或性腺外某些生殖细胞肿瘤（如卵黄囊瘤）的诊断和鉴别诊断。</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癌胚抗原(CEA)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Style w:val="6"/>
                <w:color w:val="auto"/>
                <w:lang w:val="en-US" w:eastAsia="zh-CN" w:bidi="ar"/>
              </w:rPr>
              <w:t>广谱性肿瘤标志物，对大肠癌、胰腺癌的筛查、疗效观察和预后评估有重要的临床意义，在胃、乳腺、肺癌等也可升高,升高主要见于</w:t>
            </w:r>
            <w:r>
              <w:rPr>
                <w:rStyle w:val="7"/>
                <w:color w:val="auto"/>
                <w:lang w:val="en-US" w:eastAsia="zh-CN" w:bidi="ar"/>
              </w:rPr>
              <w:t>结肠癌，直肠癌，乳腺癌，胃癌，肺癌，胰腺癌</w:t>
            </w:r>
            <w:r>
              <w:rPr>
                <w:rStyle w:val="6"/>
                <w:color w:val="auto"/>
                <w:lang w:val="en-US" w:eastAsia="zh-CN" w:bidi="ar"/>
              </w:rPr>
              <w:t>等，其他恶性肿瘤也有不同程度的阳性率。</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EB病毒抗体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6"/>
                <w:color w:val="FF0000"/>
                <w:lang w:val="en-US" w:eastAsia="zh-CN" w:bidi="ar"/>
              </w:rPr>
              <w:t>对</w:t>
            </w:r>
            <w:r>
              <w:rPr>
                <w:rStyle w:val="7"/>
                <w:color w:val="FF0000"/>
                <w:lang w:val="en-US" w:eastAsia="zh-CN" w:bidi="ar"/>
              </w:rPr>
              <w:t>鼻咽癌</w:t>
            </w:r>
            <w:r>
              <w:rPr>
                <w:rStyle w:val="6"/>
                <w:color w:val="FF0000"/>
                <w:lang w:val="en-US" w:eastAsia="zh-CN" w:bidi="ar"/>
              </w:rPr>
              <w:t>诊断有较高的特异性。</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鼻咽癌EB病毒抗体2项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6"/>
                <w:color w:val="FF0000"/>
                <w:lang w:val="en-US" w:eastAsia="zh-CN" w:bidi="ar"/>
              </w:rPr>
              <w:t>EB病毒IgA和EB病毒早抗原-IgG，指的是EB病毒早期感染的特异性抗体，对早期的诊断和治疗有一定的帮助。两项阳性提示有EB病毒感染。</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总前列腺特异性抗原tPSA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前列腺癌患者PSA升高。前列腺肥大，前列腺炎时也可见血清PSA水平轻度升高</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6"/>
                <w:color w:val="FF0000"/>
                <w:lang w:val="en-US" w:eastAsia="zh-CN" w:bidi="ar"/>
              </w:rPr>
              <w:t xml:space="preserve"> 游离列腺特异性抗原fPSA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前列腺癌患者PSA升高。前列腺肥大，前列腺炎时也可见血清PSA水平轻度升高</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糖链抗原CA125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7"/>
                <w:color w:val="FF0000"/>
                <w:lang w:val="en-US" w:eastAsia="zh-CN" w:bidi="ar"/>
              </w:rPr>
              <w:t>卵巢肿瘤</w:t>
            </w:r>
            <w:r>
              <w:rPr>
                <w:rStyle w:val="8"/>
                <w:color w:val="FF0000"/>
                <w:lang w:val="en-US" w:eastAsia="zh-CN" w:bidi="ar"/>
              </w:rPr>
              <w:t>首选标志物，胰腺肿瘤次选标志物，其他如</w:t>
            </w:r>
            <w:r>
              <w:rPr>
                <w:rStyle w:val="7"/>
                <w:color w:val="FF0000"/>
                <w:lang w:val="en-US" w:eastAsia="zh-CN" w:bidi="ar"/>
              </w:rPr>
              <w:t>宫颈癌、子宫内膜癌、输卵管癌、乳腺癌、胰腺癌、肠癌</w:t>
            </w:r>
            <w:r>
              <w:rPr>
                <w:rStyle w:val="8"/>
                <w:color w:val="FF0000"/>
                <w:lang w:val="en-US" w:eastAsia="zh-CN" w:bidi="ar"/>
              </w:rPr>
              <w:t>等也可有一定程度的增高</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糖链抗原CA15-3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7"/>
                <w:color w:val="FF0000"/>
                <w:lang w:val="en-US" w:eastAsia="zh-CN" w:bidi="ar"/>
              </w:rPr>
              <w:t>乳腺癌</w:t>
            </w:r>
            <w:r>
              <w:rPr>
                <w:rStyle w:val="6"/>
                <w:color w:val="FF0000"/>
                <w:lang w:val="en-US" w:eastAsia="zh-CN" w:bidi="ar"/>
              </w:rPr>
              <w:t xml:space="preserve">的首选标志物，其他如转移性卵巢癌、结肠癌、肝癌、胆管癌、胰腺癌、肺癌等也有不同程度的增高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糖链抗原CA19-9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消化道肿瘤的标志物，其他如转移性卵巢癌、肝癌、胰腺癌、结肠癌也有不同程度的增高</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糖链抗原CA24-2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用于消化道肿瘤的诊断，尤其对胰腺癌、结直肠癌、胃癌的诊断有较高的特异性。卵巢癌、子宫癌、肺癌等肿瘤也可升高。</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糖链抗原CA50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主要用于胰腺癌、结肠/直肠癌、胃癌的辅助诊断，其中胰腺癌病人增高最明显。</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6"/>
                <w:color w:val="FF0000"/>
                <w:lang w:val="en-US" w:eastAsia="zh-CN" w:bidi="ar"/>
              </w:rPr>
              <w:t xml:space="preserve"> 肺细胞角蛋白抗原CYFRA21-1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6"/>
                <w:color w:val="FF0000"/>
                <w:lang w:val="en-US" w:eastAsia="zh-CN" w:bidi="ar"/>
              </w:rPr>
              <w:t>主要用于监测非小细胞</w:t>
            </w:r>
            <w:r>
              <w:rPr>
                <w:rStyle w:val="7"/>
                <w:color w:val="FF0000"/>
                <w:lang w:val="en-US" w:eastAsia="zh-CN" w:bidi="ar"/>
              </w:rPr>
              <w:t>肺癌</w:t>
            </w:r>
            <w:r>
              <w:rPr>
                <w:rStyle w:val="6"/>
                <w:color w:val="FF0000"/>
                <w:lang w:val="en-US" w:eastAsia="zh-CN" w:bidi="ar"/>
              </w:rPr>
              <w:t>(NSCLC)的病程。也可用于监测横纹肌浸润性膀胱癌的病程。</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糖链抗原CA72-4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6"/>
                <w:color w:val="FF0000"/>
                <w:lang w:val="en-US" w:eastAsia="zh-CN" w:bidi="ar"/>
              </w:rPr>
              <w:t>主要用于胃肠道恶性肿瘤的初筛，检测</w:t>
            </w:r>
            <w:r>
              <w:rPr>
                <w:rStyle w:val="7"/>
                <w:color w:val="FF0000"/>
                <w:lang w:val="en-US" w:eastAsia="zh-CN" w:bidi="ar"/>
              </w:rPr>
              <w:t>胃癌</w:t>
            </w:r>
            <w:r>
              <w:rPr>
                <w:rStyle w:val="6"/>
                <w:color w:val="FF0000"/>
                <w:lang w:val="en-US" w:eastAsia="zh-CN" w:bidi="ar"/>
              </w:rPr>
              <w:t>的指标之一，但胃肠道良性疾病也可见升高</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鳞状上皮细胞癌抗原SCC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主要用于鳞癌的初筛，阳性见於肺鳞癌，子宫颈癌，食道癌，皮肤、口腔癌等鳞状上皮细胞癌</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神经原特异性烯醇化酶NSE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Style w:val="6"/>
                <w:color w:val="FF0000"/>
                <w:lang w:val="en-US" w:eastAsia="zh-CN" w:bidi="ar"/>
              </w:rPr>
              <w:t>血清NSE是是神经元和神经内分泌细胞所特有的一种酸性蛋白酶，神经内分泌肿瘤的特异性标志，如小细胞</w:t>
            </w:r>
            <w:r>
              <w:rPr>
                <w:rStyle w:val="7"/>
                <w:color w:val="FF0000"/>
                <w:lang w:val="en-US" w:eastAsia="zh-CN" w:bidi="ar"/>
              </w:rPr>
              <w:t>肺癌</w:t>
            </w:r>
            <w:r>
              <w:rPr>
                <w:rStyle w:val="6"/>
                <w:color w:val="FF0000"/>
                <w:lang w:val="en-US" w:eastAsia="zh-CN" w:bidi="ar"/>
              </w:rPr>
              <w:t>(70%升高）、神经母细胞瘤、甲状腺髓质癌)，可用于鉴别诊断、病情监测、疗效评价和复发预报。</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肿瘤特异性生长因子TSGF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主要用于原发性或转移性肝癌、肝样胃癌和性腺或性腺外某些生殖细胞肿瘤（如卵黄囊瘤）的诊断和鉴别诊断</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前列腺癌筛查三项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用于前列腺癌的早期筛查。</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其他检验检查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大便常规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通过对大便的检查，可以了解消化道有无炎症、出血、寄生虫、菌群失调等情况。</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大便隐血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通过对大便的检查，可以了解消化道有无炎症、出血、寄生虫、菌群失调等情况。</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早孕检查 HCG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早孕检测：受孕10天尿中即可检出，葡萄胎、绒癌时，尿中HCG显著增高</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优生优育十项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妊娠早期感染可引起流产、死胎、胎儿畸形等</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highlight w:val="none"/>
                <w:u w:val="none"/>
              </w:rPr>
            </w:pPr>
            <w:r>
              <w:rPr>
                <w:rFonts w:hint="eastAsia" w:ascii="微软雅黑" w:hAnsi="微软雅黑" w:eastAsia="微软雅黑" w:cs="微软雅黑"/>
                <w:i w:val="0"/>
                <w:iCs w:val="0"/>
                <w:color w:val="FF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特殊检查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经颅多普勒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判断颅内左右椎动脉、基底动脉的血流有无供应异常</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动脉硬化检测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动脉硬化早期诊断，提供心脑血管疾病危险度预测及双下肢有无血管栓塞等辅助诊断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骨密度检查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准确了解骨骼的骨量如何，有无骨量减少和骨质疏松等。</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过敏原检测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很多过敏性疾病的发生都与接触过敏原有关，因此对过敏性疾病患者进行过敏原检测，找到引发过敏的真正原因，可以做到有针对性的预防和治疗。</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胃功能检查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幽门螺杆菌抗体测定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主要用于胃炎、胃溃疡、胃肿瘤的早期筛查 。</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胃泌素G-17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胃体病变的风险，反应为窦粘膜的健康状况。可能影响胃的消化吸收功能，而导致出现胃肠道的疾病，比如胃炎，胃溃疡等</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胃功能四项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胃蛋白酶原Ⅰ、胃蛋白酶原Ⅱ、胃蛋白酶原比值。主要用于胃癌的初筛</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C14呼气试验 </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通过对胃幽门螺旋杆菌检测，确定胃内有无幽门螺杆菌，有助于溃疡病、慢性胃炎、胃癌等疾病的早期筛查。</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肺功能检查 </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933" w:type="dxa"/>
            <w:gridSpan w:val="2"/>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 xml:space="preserve"> 肺功能测试 </w:t>
            </w:r>
          </w:p>
        </w:tc>
        <w:tc>
          <w:tcPr>
            <w:tcW w:w="6396" w:type="dxa"/>
            <w:tcBorders>
              <w:top w:val="single" w:color="92D050" w:sz="4" w:space="0"/>
              <w:left w:val="single" w:color="92D050" w:sz="4" w:space="0"/>
              <w:bottom w:val="single" w:color="92D050" w:sz="4" w:space="0"/>
              <w:right w:val="single" w:color="92D05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检查肺部是否有通气功能障碍、障碍的类型及程度。</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尿液碘定量检测</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40" w:lineRule="exact"/>
              <w:jc w:val="righ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933" w:type="dxa"/>
            <w:gridSpan w:val="2"/>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尿液碘定量检测</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碘是合成甲状腺激素的重要原料，与人体正常代谢、生长发育关系密切。缺碘或碘过量可导致甲亢、甲减、甲状腺结节、自身免疫甲状腺病、乳头状甲状腺癌等相关疾病。尿碘检测是直接检测人体缺不缺碘、碘是否过量的敏感指标，为科学补碘提供准确依据，减少因碘致病。</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29" w:type="dxa"/>
            <w:gridSpan w:val="3"/>
            <w:tcBorders>
              <w:top w:val="single" w:color="92D050" w:sz="4" w:space="0"/>
              <w:left w:val="single" w:color="92D050" w:sz="4" w:space="0"/>
              <w:bottom w:val="single" w:color="92D050" w:sz="4" w:space="0"/>
              <w:right w:val="single" w:color="92D050" w:sz="4" w:space="0"/>
            </w:tcBorders>
            <w:shd w:val="clear" w:color="000000" w:fill="D7D7D7"/>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 xml:space="preserve"> 血管内皮损伤检测 </w:t>
            </w:r>
          </w:p>
        </w:tc>
        <w:tc>
          <w:tcPr>
            <w:tcW w:w="855" w:type="dxa"/>
            <w:tcBorders>
              <w:top w:val="single" w:color="92D050" w:sz="4" w:space="0"/>
              <w:left w:val="single" w:color="92D050" w:sz="4" w:space="0"/>
              <w:bottom w:val="single" w:color="92D050" w:sz="4" w:space="0"/>
              <w:right w:val="single" w:color="92D050"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40" w:lineRule="exact"/>
              <w:jc w:val="right"/>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933" w:type="dxa"/>
            <w:gridSpan w:val="2"/>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小而密低密度脂蛋白胆固醇（sdLDL-C）</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反应动脉血管内壁损伤程度，监测动脉粥样硬化的发生与进展，评价冠心病风险，与颈动脉病变程度呈正相关，评价心脑血管疾病风险，评价2型糖尿病水平，评价肾脏发病风险。</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sz w:val="22"/>
                <w:szCs w:val="22"/>
                <w:u w:val="none"/>
              </w:rPr>
            </w:pPr>
            <w:r>
              <w:rPr>
                <w:rFonts w:hint="eastAsia" w:ascii="微软雅黑" w:hAnsi="微软雅黑" w:eastAsia="微软雅黑" w:cs="微软雅黑"/>
                <w:i w:val="0"/>
                <w:iCs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69" w:type="dxa"/>
            <w:tcBorders>
              <w:top w:val="single" w:color="92D050" w:sz="4" w:space="0"/>
              <w:left w:val="single" w:color="92D050" w:sz="4" w:space="0"/>
              <w:bottom w:val="single" w:color="92D05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口腔检查</w:t>
            </w:r>
          </w:p>
        </w:tc>
        <w:tc>
          <w:tcPr>
            <w:tcW w:w="964" w:type="dxa"/>
            <w:tcBorders>
              <w:top w:val="single" w:color="92D050" w:sz="4" w:space="0"/>
              <w:left w:val="single" w:color="auto"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唇、牙齿、牙周、舌、腭、口腔粘膜等</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口腔常规检查，全面了解口腔健康状况，及时发现牙及牙周、口腔粘膜等疾病</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69" w:type="dxa"/>
            <w:tcBorders>
              <w:top w:val="single" w:color="92D050" w:sz="4" w:space="0"/>
              <w:left w:val="single" w:color="92D050" w:sz="4" w:space="0"/>
              <w:bottom w:val="single" w:color="92D05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全血细胞计数+3分类(血常规三分类）</w:t>
            </w:r>
          </w:p>
        </w:tc>
        <w:tc>
          <w:tcPr>
            <w:tcW w:w="964" w:type="dxa"/>
            <w:tcBorders>
              <w:top w:val="single" w:color="92D050" w:sz="4" w:space="0"/>
              <w:left w:val="single" w:color="auto"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包括有红细胞计数、血红蛋白、白细胞、白细胞分类计数及血小板等</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通过血常规检查发现血液方面的问题，评价骨髓功能，有助于临床急慢性感染，病毒性疾病的判断；有助于了解有无贫血及贫血分类；有助于出血性疾病的诊断等</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69" w:type="dxa"/>
            <w:tcBorders>
              <w:top w:val="single" w:color="92D050" w:sz="4" w:space="0"/>
              <w:left w:val="single" w:color="92D050" w:sz="4" w:space="0"/>
              <w:bottom w:val="single" w:color="92D05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十二导联静态心电图</w:t>
            </w:r>
          </w:p>
        </w:tc>
        <w:tc>
          <w:tcPr>
            <w:tcW w:w="964" w:type="dxa"/>
            <w:tcBorders>
              <w:top w:val="single" w:color="92D050" w:sz="4" w:space="0"/>
              <w:left w:val="single" w:color="auto"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十二导联静态心电图</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auto"/>
                <w:kern w:val="0"/>
                <w:sz w:val="22"/>
                <w:szCs w:val="22"/>
                <w:u w:val="none"/>
                <w:lang w:val="en-US" w:eastAsia="zh-CN" w:bidi="ar"/>
              </w:rPr>
            </w:pPr>
            <w:r>
              <w:rPr>
                <w:rFonts w:hint="eastAsia" w:ascii="微软雅黑" w:hAnsi="微软雅黑" w:eastAsia="微软雅黑" w:cs="微软雅黑"/>
                <w:i w:val="0"/>
                <w:iCs w:val="0"/>
                <w:color w:val="auto"/>
                <w:kern w:val="0"/>
                <w:sz w:val="22"/>
                <w:szCs w:val="22"/>
                <w:u w:val="none"/>
                <w:lang w:val="en-US" w:eastAsia="zh-CN" w:bidi="ar"/>
              </w:rPr>
              <w:t>通过在体表特定部位同步记录和分析心脏每一个心动周期所产生电活动变化的曲线图形，为心脏疾病诊断、疗效评价、预后评估提供重要的依据。</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969" w:type="dxa"/>
            <w:tcBorders>
              <w:top w:val="single" w:color="92D050" w:sz="4" w:space="0"/>
              <w:left w:val="single" w:color="92D050" w:sz="4" w:space="0"/>
              <w:bottom w:val="single" w:color="92D05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kern w:val="0"/>
                <w:sz w:val="22"/>
                <w:szCs w:val="22"/>
                <w:u w:val="none"/>
                <w:lang w:val="en-US" w:eastAsia="zh-CN" w:bidi="ar"/>
              </w:rPr>
            </w:pPr>
            <w:r>
              <w:rPr>
                <w:rFonts w:hint="eastAsia" w:ascii="微软雅黑" w:hAnsi="微软雅黑" w:eastAsia="微软雅黑" w:cs="微软雅黑"/>
                <w:i w:val="0"/>
                <w:iCs w:val="0"/>
                <w:color w:val="FF0000"/>
                <w:kern w:val="0"/>
                <w:sz w:val="22"/>
                <w:szCs w:val="22"/>
                <w:u w:val="none"/>
                <w:lang w:val="en-US" w:eastAsia="zh-CN" w:bidi="ar"/>
              </w:rPr>
              <w:t>液基细胞学薄片检测(TCT)</w:t>
            </w:r>
          </w:p>
        </w:tc>
        <w:tc>
          <w:tcPr>
            <w:tcW w:w="964" w:type="dxa"/>
            <w:tcBorders>
              <w:top w:val="single" w:color="92D050" w:sz="4" w:space="0"/>
              <w:left w:val="single" w:color="auto"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kern w:val="0"/>
                <w:sz w:val="22"/>
                <w:szCs w:val="22"/>
                <w:u w:val="none"/>
                <w:lang w:val="en-US" w:eastAsia="zh-CN" w:bidi="ar"/>
              </w:rPr>
            </w:pPr>
            <w:r>
              <w:rPr>
                <w:rFonts w:hint="eastAsia" w:ascii="微软雅黑" w:hAnsi="微软雅黑" w:eastAsia="微软雅黑" w:cs="微软雅黑"/>
                <w:i w:val="0"/>
                <w:iCs w:val="0"/>
                <w:color w:val="FF0000"/>
                <w:kern w:val="0"/>
                <w:sz w:val="22"/>
                <w:szCs w:val="22"/>
                <w:u w:val="none"/>
                <w:lang w:val="en-US" w:eastAsia="zh-CN" w:bidi="ar"/>
              </w:rPr>
              <w:t>液基薄层细胞检测</w:t>
            </w:r>
          </w:p>
        </w:tc>
        <w:tc>
          <w:tcPr>
            <w:tcW w:w="6396" w:type="dxa"/>
            <w:tcBorders>
              <w:top w:val="single" w:color="92D050" w:sz="4" w:space="0"/>
              <w:left w:val="single" w:color="92D050" w:sz="4" w:space="0"/>
              <w:bottom w:val="single" w:color="92D050" w:sz="4" w:space="0"/>
              <w:right w:val="single" w:color="92D05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i w:val="0"/>
                <w:iCs w:val="0"/>
                <w:color w:val="FF0000"/>
                <w:kern w:val="0"/>
                <w:sz w:val="22"/>
                <w:szCs w:val="22"/>
                <w:u w:val="none"/>
                <w:lang w:val="en-US" w:eastAsia="zh-CN" w:bidi="ar"/>
              </w:rPr>
            </w:pPr>
            <w:r>
              <w:rPr>
                <w:rFonts w:hint="eastAsia" w:ascii="微软雅黑" w:hAnsi="微软雅黑" w:eastAsia="微软雅黑" w:cs="微软雅黑"/>
                <w:i w:val="0"/>
                <w:iCs w:val="0"/>
                <w:color w:val="FF0000"/>
                <w:kern w:val="0"/>
                <w:sz w:val="22"/>
                <w:szCs w:val="22"/>
                <w:u w:val="none"/>
                <w:lang w:val="en-US" w:eastAsia="zh-CN" w:bidi="ar"/>
              </w:rPr>
              <w:t>是子宫颈癌及其癌前病变较先进的筛查方法，并能筛查滴虫、霉菌性阴道炎及人乳头瘤病毒和疱疹病毒的感染。</w:t>
            </w:r>
          </w:p>
        </w:tc>
        <w:tc>
          <w:tcPr>
            <w:tcW w:w="855" w:type="dxa"/>
            <w:tcBorders>
              <w:top w:val="single" w:color="92D050" w:sz="4" w:space="0"/>
              <w:left w:val="single" w:color="92D050" w:sz="4" w:space="0"/>
              <w:bottom w:val="single" w:color="92D050" w:sz="4" w:space="0"/>
              <w:right w:val="single" w:color="92D05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微软雅黑" w:hAnsi="微软雅黑" w:eastAsia="微软雅黑" w:cs="微软雅黑"/>
                <w:i w:val="0"/>
                <w:iCs w:val="0"/>
                <w:color w:val="FF0000"/>
                <w:kern w:val="0"/>
                <w:sz w:val="22"/>
                <w:szCs w:val="22"/>
                <w:u w:val="none"/>
                <w:lang w:val="en-US" w:eastAsia="zh-CN" w:bidi="ar"/>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right="0" w:firstLine="480" w:firstLineChars="200"/>
        <w:jc w:val="both"/>
        <w:textAlignment w:val="auto"/>
        <w:rPr>
          <w:rFonts w:hint="eastAsia" w:ascii="仿宋" w:hAnsi="仿宋" w:eastAsia="仿宋" w:cs="仿宋"/>
          <w:color w:val="333333"/>
          <w:spacing w:val="0"/>
          <w:sz w:val="24"/>
          <w:szCs w:val="24"/>
          <w:highlight w:val="none"/>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04C34"/>
    <w:rsid w:val="7580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kern w:val="2"/>
      <w:sz w:val="21"/>
      <w:szCs w:val="21"/>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6">
    <w:name w:val="font11"/>
    <w:basedOn w:val="5"/>
    <w:uiPriority w:val="0"/>
    <w:rPr>
      <w:rFonts w:hint="eastAsia" w:ascii="微软雅黑" w:hAnsi="微软雅黑" w:eastAsia="微软雅黑" w:cs="微软雅黑"/>
      <w:color w:val="00156E"/>
      <w:sz w:val="22"/>
      <w:szCs w:val="22"/>
      <w:u w:val="none"/>
    </w:rPr>
  </w:style>
  <w:style w:type="character" w:customStyle="1" w:styleId="7">
    <w:name w:val="font61"/>
    <w:basedOn w:val="5"/>
    <w:qFormat/>
    <w:uiPriority w:val="0"/>
    <w:rPr>
      <w:rFonts w:hint="eastAsia" w:ascii="微软雅黑" w:hAnsi="微软雅黑" w:eastAsia="微软雅黑" w:cs="微软雅黑"/>
      <w:color w:val="FF0000"/>
      <w:sz w:val="22"/>
      <w:szCs w:val="22"/>
      <w:u w:val="none"/>
    </w:rPr>
  </w:style>
  <w:style w:type="character" w:customStyle="1" w:styleId="8">
    <w:name w:val="font21"/>
    <w:basedOn w:val="5"/>
    <w:qFormat/>
    <w:uiPriority w:val="0"/>
    <w:rPr>
      <w:rFonts w:hint="eastAsia" w:ascii="微软雅黑" w:hAnsi="微软雅黑" w:eastAsia="微软雅黑" w:cs="微软雅黑"/>
      <w:color w:val="00206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2022-06-24T05:57:00Z</dcterms:created>
  <dc:creator>Administrator</dc:creator>
  <cp:lastModifiedBy>Administrator</cp:lastModifiedBy>
  <dcterms:modified xsi:type="dcterms:W3CDTF">2022-06-24T05:58:50Z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B2B4F3D9CEFC4E9E870FACE9D674E685</vt:lpwstr>
  </property>
</Properties>
</file>